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第八单元综合测试卷</w:t>
      </w:r>
    </w:p>
    <w:p>
      <w:pPr>
        <w:widowControl/>
        <w:spacing w:line="360" w:lineRule="auto"/>
        <w:ind w:firstLine="2811" w:firstLineChars="1000"/>
        <w:contextualSpacing/>
        <w:rPr>
          <w:rFonts w:hint="eastAsia" w:ascii="宋体" w:hAnsi="宋体" w:cs="Arial"/>
          <w:b/>
          <w:kern w:val="0"/>
          <w:sz w:val="28"/>
          <w:szCs w:val="28"/>
        </w:rPr>
      </w:pPr>
      <w:r>
        <w:rPr>
          <w:rFonts w:hint="eastAsia" w:ascii="宋体" w:hAnsi="宋体" w:cs="Arial"/>
          <w:b/>
          <w:kern w:val="0"/>
          <w:sz w:val="28"/>
          <w:szCs w:val="28"/>
        </w:rPr>
        <w:t>（时间：90分钟，满分：100分）</w:t>
      </w:r>
    </w:p>
    <w:tbl>
      <w:tblPr>
        <w:tblStyle w:val="4"/>
        <w:tblpPr w:leftFromText="180" w:rightFromText="180" w:vertAnchor="text" w:horzAnchor="page" w:tblpX="2427" w:tblpY="138"/>
        <w:tblW w:w="7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1282"/>
        <w:gridCol w:w="1283"/>
        <w:gridCol w:w="1283"/>
        <w:gridCol w:w="1283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282" w:type="dxa"/>
            <w:vAlign w:val="top"/>
          </w:tcPr>
          <w:p>
            <w:pPr>
              <w:widowControl/>
              <w:overflowPunct w:val="0"/>
              <w:autoSpaceDE w:val="0"/>
              <w:autoSpaceDN w:val="0"/>
              <w:spacing w:line="360" w:lineRule="auto"/>
              <w:contextualSpacing/>
              <w:textAlignment w:val="baseline"/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  <w:t>题号</w:t>
            </w:r>
          </w:p>
        </w:tc>
        <w:tc>
          <w:tcPr>
            <w:tcW w:w="1282" w:type="dxa"/>
            <w:vAlign w:val="top"/>
          </w:tcPr>
          <w:p>
            <w:pPr>
              <w:widowControl/>
              <w:overflowPunct w:val="0"/>
              <w:autoSpaceDE w:val="0"/>
              <w:autoSpaceDN w:val="0"/>
              <w:spacing w:line="360" w:lineRule="auto"/>
              <w:ind w:firstLine="241" w:firstLineChars="100"/>
              <w:contextualSpacing/>
              <w:textAlignment w:val="baseline"/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  <w:t>一</w:t>
            </w:r>
          </w:p>
        </w:tc>
        <w:tc>
          <w:tcPr>
            <w:tcW w:w="1283" w:type="dxa"/>
            <w:vAlign w:val="top"/>
          </w:tcPr>
          <w:p>
            <w:pPr>
              <w:widowControl/>
              <w:overflowPunct w:val="0"/>
              <w:autoSpaceDE w:val="0"/>
              <w:autoSpaceDN w:val="0"/>
              <w:spacing w:line="360" w:lineRule="auto"/>
              <w:contextualSpacing/>
              <w:textAlignment w:val="baseline"/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  <w:t xml:space="preserve">  二</w:t>
            </w:r>
          </w:p>
        </w:tc>
        <w:tc>
          <w:tcPr>
            <w:tcW w:w="1283" w:type="dxa"/>
            <w:vAlign w:val="top"/>
          </w:tcPr>
          <w:p>
            <w:pPr>
              <w:widowControl/>
              <w:overflowPunct w:val="0"/>
              <w:autoSpaceDE w:val="0"/>
              <w:autoSpaceDN w:val="0"/>
              <w:spacing w:line="360" w:lineRule="auto"/>
              <w:contextualSpacing/>
              <w:textAlignment w:val="baseline"/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  <w:t xml:space="preserve">  三</w:t>
            </w:r>
          </w:p>
        </w:tc>
        <w:tc>
          <w:tcPr>
            <w:tcW w:w="1283" w:type="dxa"/>
            <w:vAlign w:val="top"/>
          </w:tcPr>
          <w:p>
            <w:pPr>
              <w:widowControl/>
              <w:overflowPunct w:val="0"/>
              <w:autoSpaceDE w:val="0"/>
              <w:autoSpaceDN w:val="0"/>
              <w:spacing w:line="360" w:lineRule="auto"/>
              <w:contextualSpacing/>
              <w:textAlignment w:val="baseline"/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  <w:t xml:space="preserve">  四</w:t>
            </w:r>
          </w:p>
        </w:tc>
        <w:tc>
          <w:tcPr>
            <w:tcW w:w="1283" w:type="dxa"/>
            <w:vAlign w:val="top"/>
          </w:tcPr>
          <w:p>
            <w:pPr>
              <w:widowControl/>
              <w:overflowPunct w:val="0"/>
              <w:autoSpaceDE w:val="0"/>
              <w:autoSpaceDN w:val="0"/>
              <w:spacing w:line="360" w:lineRule="auto"/>
              <w:contextualSpacing/>
              <w:textAlignment w:val="baseline"/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  <w:t xml:space="preserve"> 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282" w:type="dxa"/>
            <w:vAlign w:val="top"/>
          </w:tcPr>
          <w:p>
            <w:pPr>
              <w:widowControl/>
              <w:overflowPunct w:val="0"/>
              <w:autoSpaceDE w:val="0"/>
              <w:autoSpaceDN w:val="0"/>
              <w:spacing w:line="360" w:lineRule="auto"/>
              <w:contextualSpacing/>
              <w:textAlignment w:val="baseline"/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  <w:t>得分</w:t>
            </w:r>
          </w:p>
        </w:tc>
        <w:tc>
          <w:tcPr>
            <w:tcW w:w="1282" w:type="dxa"/>
            <w:vAlign w:val="top"/>
          </w:tcPr>
          <w:p>
            <w:pPr>
              <w:widowControl/>
              <w:overflowPunct w:val="0"/>
              <w:autoSpaceDE w:val="0"/>
              <w:autoSpaceDN w:val="0"/>
              <w:spacing w:line="360" w:lineRule="auto"/>
              <w:contextualSpacing/>
              <w:textAlignment w:val="baseline"/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>
            <w:pPr>
              <w:widowControl/>
              <w:overflowPunct w:val="0"/>
              <w:autoSpaceDE w:val="0"/>
              <w:autoSpaceDN w:val="0"/>
              <w:spacing w:line="360" w:lineRule="auto"/>
              <w:contextualSpacing/>
              <w:textAlignment w:val="baseline"/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>
            <w:pPr>
              <w:widowControl/>
              <w:overflowPunct w:val="0"/>
              <w:autoSpaceDE w:val="0"/>
              <w:autoSpaceDN w:val="0"/>
              <w:spacing w:line="360" w:lineRule="auto"/>
              <w:contextualSpacing/>
              <w:textAlignment w:val="baseline"/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>
            <w:pPr>
              <w:widowControl/>
              <w:overflowPunct w:val="0"/>
              <w:autoSpaceDE w:val="0"/>
              <w:autoSpaceDN w:val="0"/>
              <w:spacing w:line="360" w:lineRule="auto"/>
              <w:contextualSpacing/>
              <w:textAlignment w:val="baseline"/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>
            <w:pPr>
              <w:widowControl/>
              <w:overflowPunct w:val="0"/>
              <w:autoSpaceDE w:val="0"/>
              <w:autoSpaceDN w:val="0"/>
              <w:spacing w:line="360" w:lineRule="auto"/>
              <w:contextualSpacing/>
              <w:textAlignment w:val="baseline"/>
              <w:rPr>
                <w:rFonts w:hint="eastAsia" w:ascii="宋体" w:hAnsi="宋体" w:cs="Arial"/>
                <w:b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contextualSpacing/>
        <w:textAlignment w:val="auto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一、基础知识。(</w:t>
      </w:r>
      <w:r>
        <w:rPr>
          <w:rFonts w:hint="eastAsia" w:hAnsi="宋体" w:cs="Times New Roman"/>
          <w:b/>
          <w:sz w:val="28"/>
          <w:szCs w:val="28"/>
        </w:rPr>
        <w:t>4</w:t>
      </w:r>
      <w:r>
        <w:rPr>
          <w:rFonts w:hint="eastAsia" w:hAnsi="宋体" w:cs="Times New Roman"/>
          <w:b/>
          <w:sz w:val="28"/>
          <w:szCs w:val="28"/>
          <w:lang w:val="en-US" w:eastAsia="zh-CN"/>
        </w:rPr>
        <w:t>4</w:t>
      </w:r>
      <w:r>
        <w:rPr>
          <w:rFonts w:hAnsi="宋体" w:cs="Times New Roman"/>
          <w:b/>
          <w:sz w:val="28"/>
          <w:szCs w:val="28"/>
        </w:rPr>
        <w:t>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contextualSpacing/>
        <w:textAlignment w:val="auto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.</w:t>
      </w:r>
      <w:r>
        <w:rPr>
          <w:rFonts w:hAnsi="宋体" w:cs="Times New Roman"/>
          <w:sz w:val="24"/>
          <w:szCs w:val="24"/>
        </w:rPr>
        <w:t>给下列加点的字选择正确的读音，用“</w:t>
      </w:r>
      <w:r>
        <w:rPr>
          <w:rFonts w:hint="eastAsia" w:hAnsi="宋体" w:cs="Times New Roman"/>
          <w:sz w:val="24"/>
          <w:szCs w:val="24"/>
        </w:rPr>
        <w:t>√</w:t>
      </w:r>
      <w:r>
        <w:rPr>
          <w:rFonts w:hAnsi="宋体" w:cs="Times New Roman"/>
          <w:sz w:val="24"/>
          <w:szCs w:val="24"/>
        </w:rPr>
        <w:t>”标出。(</w:t>
      </w:r>
      <w:r>
        <w:rPr>
          <w:rFonts w:hint="eastAsia" w:hAnsi="宋体" w:cs="Times New Roman"/>
          <w:sz w:val="24"/>
          <w:szCs w:val="24"/>
          <w:lang w:val="en-US" w:eastAsia="zh-CN"/>
        </w:rPr>
        <w:t>3</w:t>
      </w:r>
      <w:r>
        <w:rPr>
          <w:rFonts w:hAnsi="宋体" w:cs="Times New Roman"/>
          <w:sz w:val="24"/>
          <w:szCs w:val="24"/>
        </w:rPr>
        <w:t>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contextualSpacing/>
        <w:textAlignment w:val="auto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清</w:t>
      </w:r>
      <w:r>
        <w:rPr>
          <w:rFonts w:hint="eastAsia" w:hAnsi="宋体" w:cs="Times New Roman"/>
          <w:sz w:val="24"/>
          <w:szCs w:val="24"/>
          <w:em w:val="dot"/>
        </w:rPr>
        <w:t>幽</w:t>
      </w:r>
      <w:r>
        <w:rPr>
          <w:rFonts w:hint="eastAsia" w:hAnsi="宋体" w:cs="Times New Roman"/>
          <w:sz w:val="24"/>
          <w:szCs w:val="24"/>
        </w:rPr>
        <w:t>（rōu  yōu）    陶</w:t>
      </w:r>
      <w:r>
        <w:rPr>
          <w:rFonts w:hint="eastAsia" w:hAnsi="宋体" w:cs="Times New Roman"/>
          <w:sz w:val="24"/>
          <w:szCs w:val="24"/>
          <w:em w:val="dot"/>
        </w:rPr>
        <w:t>醉</w:t>
      </w:r>
      <w:r>
        <w:rPr>
          <w:rFonts w:hint="eastAsia" w:hAnsi="宋体" w:cs="Times New Roman"/>
          <w:sz w:val="24"/>
          <w:szCs w:val="24"/>
        </w:rPr>
        <w:t>（zhuì  zuì）    莱</w:t>
      </w:r>
      <w:r>
        <w:rPr>
          <w:rFonts w:hint="eastAsia" w:hAnsi="宋体" w:cs="Times New Roman"/>
          <w:sz w:val="24"/>
          <w:szCs w:val="24"/>
          <w:em w:val="dot"/>
        </w:rPr>
        <w:t>茵</w:t>
      </w:r>
      <w:r>
        <w:rPr>
          <w:rFonts w:hint="eastAsia" w:hAnsi="宋体" w:cs="Times New Roman"/>
          <w:sz w:val="24"/>
          <w:szCs w:val="24"/>
        </w:rPr>
        <w:t>河（yīn  jūn）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contextualSpacing/>
        <w:textAlignment w:val="auto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交</w:t>
      </w:r>
      <w:r>
        <w:rPr>
          <w:rFonts w:hint="eastAsia" w:hAnsi="宋体" w:cs="Times New Roman"/>
          <w:sz w:val="24"/>
          <w:szCs w:val="24"/>
          <w:em w:val="dot"/>
        </w:rPr>
        <w:t>涉</w:t>
      </w:r>
      <w:r>
        <w:rPr>
          <w:rFonts w:hint="eastAsia" w:hAnsi="宋体" w:cs="Times New Roman"/>
          <w:sz w:val="24"/>
          <w:szCs w:val="24"/>
        </w:rPr>
        <w:t>（chè  shè）    赴</w:t>
      </w:r>
      <w:r>
        <w:rPr>
          <w:rFonts w:hint="eastAsia" w:hAnsi="宋体" w:cs="Times New Roman"/>
          <w:sz w:val="24"/>
          <w:szCs w:val="24"/>
          <w:em w:val="dot"/>
        </w:rPr>
        <w:t>约</w:t>
      </w:r>
      <w:r>
        <w:rPr>
          <w:rFonts w:hint="eastAsia" w:hAnsi="宋体" w:cs="Times New Roman"/>
          <w:sz w:val="24"/>
          <w:szCs w:val="24"/>
        </w:rPr>
        <w:t xml:space="preserve">（yāo  yuē）     </w:t>
      </w:r>
      <w:r>
        <w:rPr>
          <w:rFonts w:hint="eastAsia" w:hAnsi="宋体" w:cs="Times New Roman"/>
          <w:sz w:val="24"/>
          <w:szCs w:val="24"/>
          <w:em w:val="dot"/>
        </w:rPr>
        <w:t>霎</w:t>
      </w:r>
      <w:r>
        <w:rPr>
          <w:rFonts w:hint="eastAsia" w:hAnsi="宋体" w:cs="Times New Roman"/>
          <w:sz w:val="24"/>
          <w:szCs w:val="24"/>
        </w:rPr>
        <w:t>时间（shà  chà）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Times New Roman"/>
          <w:sz w:val="24"/>
          <w:szCs w:val="24"/>
        </w:rPr>
      </w:pPr>
      <w:r>
        <w:rPr>
          <w:rFonts w:hAnsi="宋体" w:cs="Arial"/>
          <w:sz w:val="24"/>
          <w:szCs w:val="24"/>
        </w:rPr>
        <w:t>2</w:t>
      </w:r>
      <w:r>
        <w:rPr>
          <w:rFonts w:hAnsi="宋体" w:cs="Times New Roman"/>
          <w:sz w:val="24"/>
          <w:szCs w:val="24"/>
        </w:rPr>
        <w:t>．</w:t>
      </w:r>
      <w:r>
        <w:rPr>
          <w:rFonts w:hint="eastAsia" w:hAnsi="宋体" w:cs="Times New Roman"/>
          <w:sz w:val="24"/>
          <w:szCs w:val="24"/>
        </w:rPr>
        <w:t>读</w:t>
      </w:r>
      <w:r>
        <w:rPr>
          <w:rFonts w:hAnsi="宋体" w:cs="Times New Roman"/>
          <w:sz w:val="24"/>
          <w:szCs w:val="24"/>
        </w:rPr>
        <w:t>拼音，写词语。(</w:t>
      </w:r>
      <w:r>
        <w:rPr>
          <w:rFonts w:hint="eastAsia" w:hAnsi="宋体" w:cs="Times New Roman"/>
          <w:sz w:val="24"/>
          <w:szCs w:val="24"/>
        </w:rPr>
        <w:t>6</w:t>
      </w:r>
      <w:r>
        <w:rPr>
          <w:rFonts w:hAnsi="宋体" w:cs="Times New Roman"/>
          <w:sz w:val="24"/>
          <w:szCs w:val="24"/>
        </w:rPr>
        <w:t>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pǔ xiě(　　　　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hAnsi="宋体" w:cs="宋体"/>
          <w:sz w:val="24"/>
          <w:szCs w:val="24"/>
        </w:rPr>
        <w:t xml:space="preserve">) 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hAnsi="宋体" w:cs="宋体"/>
          <w:sz w:val="24"/>
          <w:szCs w:val="24"/>
        </w:rPr>
        <w:t>jì lù(　　　　)    shà shí(　　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chèn tuō(　　　　)          àn wú tiān rì(　　　　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hAnsi="宋体" w:cs="宋体"/>
          <w:sz w:val="24"/>
          <w:szCs w:val="24"/>
        </w:rPr>
        <w:t xml:space="preserve">)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  <w:lang w:val="en-US" w:eastAsia="zh-CN"/>
        </w:rPr>
        <w:t>3</w:t>
      </w:r>
      <w:r>
        <w:rPr>
          <w:rFonts w:hint="eastAsia" w:hAnsi="宋体" w:cs="Times New Roman"/>
          <w:sz w:val="24"/>
          <w:szCs w:val="24"/>
        </w:rPr>
        <w:t>．给下面加点的字选择正确的解释，将序号填在后面的括号里。(4分)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胜：①胜利，跟“负、败”相对；②能够承担或承受；③打败(别人)；④优美的景物或境界。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(1)引人入胜(　　)　</w:t>
      </w:r>
      <w:r>
        <w:rPr>
          <w:rFonts w:hint="eastAsia" w:hAnsi="宋体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hAnsi="宋体" w:cs="Times New Roman"/>
          <w:sz w:val="24"/>
          <w:szCs w:val="24"/>
        </w:rPr>
        <w:t>(2)以少胜多(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 xml:space="preserve">(3)不胜其烦(　　)  </w:t>
      </w:r>
      <w:r>
        <w:rPr>
          <w:rFonts w:hint="eastAsia" w:hAnsi="宋体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hAnsi="宋体" w:cs="Times New Roman"/>
          <w:sz w:val="24"/>
          <w:szCs w:val="24"/>
        </w:rPr>
        <w:t>(4)不分胜负(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0"/>
          <w:sz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kern w:val="0"/>
          <w:sz w:val="24"/>
        </w:rPr>
        <w:t>、用“静”字组词填空。</w:t>
      </w:r>
      <w:r>
        <w:rPr>
          <w:rFonts w:hint="eastAsia" w:asciiTheme="majorEastAsia" w:hAnsiTheme="majorEastAsia" w:eastAsiaTheme="majorEastAsia" w:cstheme="majorEastAsia"/>
          <w:kern w:val="0"/>
          <w:sz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kern w:val="0"/>
          <w:sz w:val="24"/>
          <w:lang w:val="en-US" w:eastAsia="zh-CN"/>
        </w:rPr>
        <w:t>5分</w:t>
      </w:r>
      <w:r>
        <w:rPr>
          <w:rFonts w:hint="eastAsia" w:asciiTheme="majorEastAsia" w:hAnsiTheme="majorEastAsia" w:eastAsiaTheme="majorEastAsia" w:cstheme="majorEastAsia"/>
          <w:kern w:val="0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</w:rPr>
        <w:t xml:space="preserve"> 　　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(1)</w:t>
      </w:r>
      <w:r>
        <w:rPr>
          <w:rFonts w:hint="eastAsia" w:asciiTheme="majorEastAsia" w:hAnsiTheme="majorEastAsia" w:eastAsiaTheme="majorEastAsia" w:cstheme="majorEastAsia"/>
          <w:kern w:val="0"/>
          <w:sz w:val="24"/>
        </w:rPr>
        <w:t>．清幽的月光照在盲姑娘_____的脸上。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</w:rPr>
        <w:t xml:space="preserve"> 　　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 w:cstheme="majorEastAsia"/>
          <w:kern w:val="0"/>
          <w:sz w:val="24"/>
        </w:rPr>
        <w:t>．傍晚，贝多芬在一条_____的小路上散步。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</w:rPr>
        <w:t xml:space="preserve"> 　　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 w:cstheme="majorEastAsia"/>
          <w:kern w:val="0"/>
          <w:sz w:val="24"/>
        </w:rPr>
        <w:t>．铃声响过了，教室里很_____，同学们端坐着等待老师上课。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</w:rPr>
        <w:t xml:space="preserve"> 　　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(4)</w:t>
      </w:r>
      <w:r>
        <w:rPr>
          <w:rFonts w:hint="eastAsia" w:asciiTheme="majorEastAsia" w:hAnsiTheme="majorEastAsia" w:eastAsiaTheme="majorEastAsia" w:cstheme="majorEastAsia"/>
          <w:kern w:val="0"/>
          <w:sz w:val="24"/>
        </w:rPr>
        <w:t>．夜深了，冬天的山村一片_____，听不到一点声响。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</w:rPr>
        <w:t xml:space="preserve"> 　　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)</w:t>
      </w:r>
      <w:r>
        <w:rPr>
          <w:rFonts w:hint="eastAsia" w:asciiTheme="majorEastAsia" w:hAnsiTheme="majorEastAsia" w:eastAsiaTheme="majorEastAsia" w:cstheme="majorEastAsia"/>
          <w:kern w:val="0"/>
          <w:sz w:val="24"/>
        </w:rPr>
        <w:t>．无论遇到什么事情，我们都不要急躁，头脑一定要_____。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 把词语补充完整，并选择合适的词语填空。（6分）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妙（      ）生（      ）      （      ）（      ） 天工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余音（      ）（      ）        雕（      ）画（  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我们可以用“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”来赞美伯牙的《高山流水》，当我们读到一篇好文章时，我们可以由衷地说这真是“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6</w:t>
      </w:r>
      <w:r>
        <w:rPr>
          <w:rFonts w:hint="eastAsia" w:hAnsi="宋体" w:cs="宋体"/>
          <w:sz w:val="24"/>
          <w:szCs w:val="24"/>
        </w:rPr>
        <w:t>．根据要求改写句子。(8分)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(1)我们在纽约大都会博物馆前排着队，队伍很长。(改为比喻句)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(2)“蒙娜丽莎”是全人类文化宝库中一颗璀璨的明珠。(缩句)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(3)姑娘说：“我不过随便说说罢了。”(改为转述句)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(4)我对舞台有着神奇的吸引力。(修改病句)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contextualSpacing/>
        <w:textAlignment w:val="auto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  <w:lang w:val="en-US" w:eastAsia="zh-CN"/>
        </w:rPr>
        <w:t>7</w:t>
      </w:r>
      <w:r>
        <w:rPr>
          <w:rFonts w:hint="eastAsia" w:hAnsi="宋体" w:cs="Times New Roman"/>
          <w:sz w:val="24"/>
          <w:szCs w:val="24"/>
        </w:rPr>
        <w:t>.</w:t>
      </w:r>
      <w:r>
        <w:rPr>
          <w:rFonts w:hAnsi="宋体" w:cs="Times New Roman"/>
          <w:sz w:val="24"/>
          <w:szCs w:val="24"/>
        </w:rPr>
        <w:t>理解课文内容填空。(</w:t>
      </w:r>
      <w:r>
        <w:rPr>
          <w:rFonts w:hint="eastAsia" w:hAnsi="宋体" w:cs="Times New Roman"/>
          <w:sz w:val="24"/>
          <w:szCs w:val="24"/>
        </w:rPr>
        <w:t>3分+4分+2分+3</w:t>
      </w:r>
      <w:r>
        <w:rPr>
          <w:rFonts w:hAnsi="宋体" w:cs="Times New Roman"/>
          <w:sz w:val="24"/>
          <w:szCs w:val="24"/>
        </w:rPr>
        <w:t>分</w:t>
      </w:r>
      <w:r>
        <w:rPr>
          <w:rFonts w:hint="eastAsia" w:hAnsi="宋体" w:cs="Times New Roman"/>
          <w:sz w:val="24"/>
          <w:szCs w:val="24"/>
        </w:rPr>
        <w:t>=12分</w:t>
      </w:r>
      <w:r>
        <w:rPr>
          <w:rFonts w:hAnsi="宋体" w:cs="Times New Roman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0"/>
        <w:contextualSpacing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（1）“伯牙谓世再无知音，乃破琴绝弦，终身不复鼓”中的“伯牙”指的是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，他的“知音”是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。这句话的意思是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</w:t>
      </w:r>
      <w:r>
        <w:rPr>
          <w:rFonts w:hint="eastAsia" w:ascii="宋体" w:hAnsi="宋体"/>
          <w:sz w:val="24"/>
          <w:szCs w:val="24"/>
        </w:rPr>
        <w:t>。从这句话中，我归纳出的一个成语是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0"/>
        <w:contextualSpacing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（2）《月光曲》的作者是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，《蒙娜丽莎》的作者是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。我要用一句话形容出他们的成就：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</w:t>
      </w:r>
      <w:r>
        <w:rPr>
          <w:rFonts w:hint="eastAsia" w:ascii="宋体" w:hAnsi="宋体"/>
          <w:sz w:val="24"/>
          <w:szCs w:val="24"/>
        </w:rPr>
        <w:t>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0"/>
        <w:contextualSpacing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（3）《我的舞台》既是我艺术的舞台，又是我生活的舞台，我从中悟出的道理是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/>
          <w:sz w:val="24"/>
          <w:szCs w:val="24"/>
        </w:rPr>
        <w:t>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0"/>
        <w:contextualSpacing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（4）填空：皮鞋匠看看妹妹，月光正照在她那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的脸上，照着她睁得大大的眼睛。她仿佛也看到了，看到了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/>
          <w:sz w:val="24"/>
          <w:szCs w:val="24"/>
        </w:rPr>
        <w:t>，月光照耀下的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/>
          <w:sz w:val="24"/>
          <w:szCs w:val="24"/>
        </w:rPr>
        <w:t>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二、阅读。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（26分）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（一）课内阅读。（7分）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88" w:lineRule="auto"/>
        <w:textAlignment w:val="auto"/>
        <w:rPr>
          <w:rFonts w:hint="eastAsia" w:ascii="黑体" w:hAnsi="黑体" w:eastAsia="黑体" w:cs="黑体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贝多芬走近茅屋，琴声忽然停了，屋子里有人在谈话。①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一个姑娘说：“这首曲子多难弹啊！我只听别人弹过几遍，总是记不住该怎样弹。要是能听一听贝多芬自己是怎样弹的，那有多好啊！”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一个男的说：“是啊，可是音乐会的入场券（quàn）太贵了，咱们又太穷。”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②姑娘说：“哥哥，你别难过，我不过随便说说罢了。”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贝多芬听到这里，推开门，轻轻地走了进去。茅屋里点着一支蜡烛。在微弱的烛光下，男的正在做皮鞋。窗前有架旧钢琴，前面坐着一个十六七岁的姑娘，脸很清秀，可是眼睛失明了。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皮鞋匠看见进来个陌生人，站起来问：“先生，您找谁？走错门了吧？”贝多芬说：“不，我是来弹一首曲子给这位姑娘听的。”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姑娘连忙站起来让座。贝多芬坐在钢琴前面，弹起肓姑娘刚才弹的那首曲子。盲姑娘听得入了神，一曲弹完，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③她激动地说：“弹得多纯熟啊！感情多深哪！您，您就是贝多芬先生吧？”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贝多芬没有回答，他问盲姑娘：“您爱听吗？我再给您弹一首吧。”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一阵风把蜡烛吹灭了。月光照进窗子，茅屋里的一切好像披上了银纱，显得格外清幽。贝多芬望了望站在他身旁的兄妹俩，借着清幽的月光，按起了琴键。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、选文中三处画线的句子都写了盲姑娘说的话，你从每一处各体会到什么呢？请写下来。（3分）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②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③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、贝多芬为什么要给盲姑娘弹曲子？一曲弹完，贝多芬为什么准备给盲姑娘再弹一首？（2分）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、当盲姑娘肯定弹曲子的是贝多芬时，贝多芬并没有回答，此时贝多芬心里会怎么想呢？（2分）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（二）课外阅读。（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大作曲家莫扎特还是海顿的学生时，曾和老师打过一次赌。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莫扎特说，他能写出一段曲子，老师准弹不了。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在音乐殿堂奋斗了多年且早已功成名就的海顿岂能轻易相信。见老师疑惑不解的样子，莫扎特竟真的伏案疾书起来，很快便将一段曲谱交给了老师。海顿未及细看便坐在钢琴前弹奏起来。仅一会儿工夫，海顿就弹不下去了，他惊呼起来：“这是什么呀？我两手分别弹响钢琴两端时，怎么会有一个音符出现在键盘中间位置呢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接下来海顿以他那【精湛  精心】的技巧又试弹了几次，还是不成，最后无可奈何地说：“真是活见鬼了，看样子任何人也弹奏不了这样的曲子。【果然  显然】，海顿这里讲的“任何人”其中也包括莫扎特。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只见莫扎特接过乐谱，微笑着坐在琴凳上，胸有成竹地弹奏起来。海顿也屏住呼吸,留神观看他的学生究竟会怎样去弹奏那个需要“第三只手”才能弹出来的音符。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令老师大为惊喜的是，当遇到那个特别的音符时，莫扎特不慌不忙地向前弯下身子,用鼻子点弹而就。海顿禁不住对自己的高徒赞叹不已。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莫扎特的这一轶闻饶有【趣味  兴趣】，尽管在公开演奏场合他从未表演过用鼻子去弹钢琴,但这次打赌所表现出来的变通思维,在他的不朽作品中处处闪光。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“世界上没有不能弹奏的曲子。”这应当是创新学推崇的一条座右铭。变不可能为可能，这也是创造型人才应具备的一种潜质。是的，从创新学的角度讲，没有不能实现的事情。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１. 划去括号中不恰当的词语。（３分）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２. “就”字在字典中有这些解释：①凑近；靠近。②到，开始从事。③完成。短文中“功成名就”的“就”，取第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种解释。“点弹而就” 的“就”，取第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种解释。（２分）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３. 海顿弹不下去的原因是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莫扎特解决的方法是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４. 文中几次写到海顿的身份地位以及琴技的高超，作者这样写的好处是什么？（２分）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５. 文中表现的莫扎特是个怎样的人？请结合短文内容简要说明理由。（４分）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６. 短文中“创新学”推崇的一条座右铭是：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请联系上下文和生活实际，写下你对这句话的理解：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（4分）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contextualSpacing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三、综合性学习。(5分)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节日年年有，近年来特别多。与几十年前相比，今天中国人过节的次数几乎“翻了一番”。圣诞节、愚人节、万圣节……我们过得不亦乐乎。与之相对的，则是中国传统节日的冷清。针对这种情况，专家呼吁，政府要通过立法的手段来保护和继承我们本民族的传统节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你喜欢过洋节日还是传统节日？并简要说明原因。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四、习作（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分，其中书写分2分）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活处处有艺术，你可能学过一门艺术，如唱歌、书法、舞蹈、画画、拉琴等；也可能喜欢某一件艺术品。如一幅画、一个中国结、泥塑、陶器、木雕等；还可能参加过某一次艺术欣赏活动，比如听音乐会，看花展，参观美术馆、诗歌沙龙，欣赏歌剧等。请选择自己印象深刻的写一写，文章写具体，写出自己的感受，450字以上，题目自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一、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yōu zuì yīn shè yuē shà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2．谱写　记录　霎时　衬托　暗无天日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.④　(2)③　(3)②　(4)①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4.恬静、幽静、安静、寂静、冷静（意思相近即可）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． 笔 花   巧 夺   绕 梁   梁 栋   余音绕梁   妙笔生花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．(1)我们在纽约大都会博物馆前排着队，队伍像一条长龙。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(2)“蒙娜丽莎”是明珠。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(3)姑娘说她不过随便说说罢了。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(4)舞台对我有着神奇的吸引力。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contextualSpacing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.（1）俞伯牙 钟子期 伯牙认为世上再出没有知音了，于是他把心爱的琴摔碎，终身不再弹琴 知音难觅 （2）贝多芬 达·芬奇他们的作品流芳百世（3）老实做人，认真演戏 （4）恬静 她从来没有看到过的景象 波涛汹涌的大海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jc w:val="both"/>
        <w:textAlignment w:val="auto"/>
        <w:rPr>
          <w:rFonts w:hint="eastAsia" w:ascii="宋体" w:hAnsi="宋体" w:eastAsia="宋体" w:cs="宋体"/>
          <w:color w:val="FF000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shd w:val="clear" w:color="auto" w:fill="auto"/>
          <w:lang w:val="en-US" w:eastAsia="zh-CN"/>
        </w:rPr>
        <w:t>二（一）1、热爱音乐  善解人意  懂音乐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firstLine="1120" w:firstLineChars="400"/>
        <w:jc w:val="both"/>
        <w:textAlignment w:val="auto"/>
        <w:rPr>
          <w:rFonts w:hint="eastAsia" w:ascii="宋体" w:hAnsi="宋体" w:eastAsia="宋体" w:cs="宋体"/>
          <w:color w:val="FF000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shd w:val="clear" w:color="auto" w:fill="auto"/>
          <w:lang w:val="en-US" w:eastAsia="zh-CN"/>
        </w:rPr>
        <w:t>2、被盲姑娘热爱音乐、善解人意所感动以及对兄妹二人的同情。盲姑娘是贝多芬的知音。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firstLine="1120" w:firstLineChars="400"/>
        <w:jc w:val="both"/>
        <w:textAlignment w:val="auto"/>
        <w:rPr>
          <w:rFonts w:hint="eastAsia" w:ascii="宋体" w:hAnsi="宋体" w:eastAsia="宋体" w:cs="宋体"/>
          <w:color w:val="FF000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shd w:val="clear" w:color="auto" w:fill="auto"/>
          <w:lang w:val="en-US" w:eastAsia="zh-CN"/>
        </w:rPr>
        <w:t>3、略。（答案不唯一）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（二）１． 划去的是：精心   果然   兴趣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     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２． ③   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 ３． 两手分别弹响钢琴两端时，有一个音符出现在键盘中间位置。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     莫扎特不慌不忙地向前弯下身子,用鼻子点弹而就。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     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４． 侧面体现莫扎特所出题目的难度，反衬莫扎特变通思维的巧妙。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     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５． 调皮：与老师打赌（略）。   具有变通思维、有创新意识：用鼻尖弹琴（略）。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     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６．“世界上没有不能弹奏的曲子。”   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contextualSpacing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三、示例：我喜欢过传统节目。虽然觉得洋节十分有趣，但我们是中国人，应该尊重中国的传统文化，不要冷落我们自己的节日。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50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sunny-温暖</cp:lastModifiedBy>
  <dcterms:modified xsi:type="dcterms:W3CDTF">2018-12-18T09:38:02Z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